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D878B" w14:textId="2AD1E5EB" w:rsidR="007F1ACE" w:rsidRDefault="007F1ACE" w:rsidP="007F1ACE">
      <w:pPr>
        <w:widowControl w:val="0"/>
        <w:tabs>
          <w:tab w:val="right" w:pos="9639"/>
          <w:tab w:val="right" w:pos="13323"/>
        </w:tabs>
        <w:spacing w:after="0"/>
        <w:jc w:val="both"/>
        <w:rPr>
          <w:rFonts w:ascii="Arial" w:hAnsi="Arial" w:cs="Arial"/>
          <w:b/>
          <w:bCs/>
          <w:color w:val="808080"/>
          <w:sz w:val="26"/>
          <w:szCs w:val="26"/>
        </w:rPr>
      </w:pPr>
      <w:bookmarkStart w:id="0" w:name="_Hlk506802394"/>
      <w:r>
        <w:rPr>
          <w:rFonts w:ascii="Arial" w:hAnsi="Arial" w:cs="Arial"/>
          <w:b/>
          <w:noProof/>
          <w:sz w:val="24"/>
          <w:szCs w:val="24"/>
        </w:rPr>
        <w:t>3</w:t>
      </w:r>
      <w:r w:rsidRPr="00C45A63">
        <w:rPr>
          <w:rFonts w:ascii="Arial" w:hAnsi="Arial" w:cs="Arial"/>
          <w:b/>
          <w:noProof/>
          <w:sz w:val="24"/>
          <w:szCs w:val="24"/>
        </w:rPr>
        <w:t>GPP</w:t>
      </w:r>
      <w:r>
        <w:rPr>
          <w:rFonts w:ascii="Arial" w:hAnsi="Arial" w:cs="Arial"/>
          <w:b/>
          <w:noProof/>
          <w:sz w:val="24"/>
          <w:szCs w:val="24"/>
        </w:rPr>
        <w:t xml:space="preserve"> </w:t>
      </w:r>
      <w:r w:rsidRPr="00C45A63">
        <w:rPr>
          <w:rFonts w:ascii="Arial" w:hAnsi="Arial" w:cs="Arial"/>
          <w:b/>
          <w:noProof/>
          <w:sz w:val="24"/>
          <w:szCs w:val="24"/>
        </w:rPr>
        <w:t>RAN4#</w:t>
      </w:r>
      <w:r>
        <w:rPr>
          <w:rFonts w:ascii="Arial" w:hAnsi="Arial" w:cs="Arial"/>
          <w:b/>
          <w:noProof/>
          <w:sz w:val="24"/>
          <w:szCs w:val="24"/>
        </w:rPr>
        <w:t>95-e</w:t>
      </w:r>
      <w:r w:rsidRPr="004B7E17">
        <w:rPr>
          <w:rFonts w:ascii="Arial" w:hAnsi="Arial" w:cs="Arial"/>
          <w:b/>
          <w:noProof/>
          <w:sz w:val="24"/>
          <w:szCs w:val="24"/>
        </w:rPr>
        <w:tab/>
      </w:r>
      <w:r w:rsidRPr="00213912">
        <w:rPr>
          <w:rFonts w:ascii="Arial" w:hAnsi="Arial" w:cs="Arial"/>
          <w:b/>
          <w:bCs/>
          <w:sz w:val="26"/>
          <w:szCs w:val="26"/>
        </w:rPr>
        <w:t>R4-200</w:t>
      </w:r>
      <w:r w:rsidR="00A0557E">
        <w:rPr>
          <w:rFonts w:ascii="Arial" w:hAnsi="Arial" w:cs="Arial"/>
          <w:b/>
          <w:bCs/>
          <w:sz w:val="26"/>
          <w:szCs w:val="26"/>
        </w:rPr>
        <w:t>7488</w:t>
      </w:r>
    </w:p>
    <w:p w14:paraId="2215A183" w14:textId="77777777" w:rsidR="007F1ACE" w:rsidRDefault="007F1ACE" w:rsidP="007F1ACE">
      <w:pPr>
        <w:pStyle w:val="Footer"/>
        <w:jc w:val="both"/>
        <w:rPr>
          <w:rFonts w:eastAsia="SimSun"/>
          <w:i w:val="0"/>
          <w:noProof w:val="0"/>
          <w:sz w:val="24"/>
          <w:szCs w:val="24"/>
        </w:rPr>
      </w:pPr>
      <w:r>
        <w:rPr>
          <w:rFonts w:eastAsia="SimSun"/>
          <w:i w:val="0"/>
          <w:noProof w:val="0"/>
          <w:sz w:val="24"/>
          <w:szCs w:val="24"/>
        </w:rPr>
        <w:t>Online Meeting, May</w:t>
      </w:r>
      <w:r w:rsidRPr="0000187B">
        <w:rPr>
          <w:rFonts w:eastAsia="SimSun"/>
          <w:i w:val="0"/>
          <w:noProof w:val="0"/>
          <w:sz w:val="24"/>
          <w:szCs w:val="24"/>
        </w:rPr>
        <w:t xml:space="preserve"> </w:t>
      </w:r>
      <w:r>
        <w:rPr>
          <w:rFonts w:eastAsia="SimSun"/>
          <w:i w:val="0"/>
          <w:noProof w:val="0"/>
          <w:sz w:val="24"/>
          <w:szCs w:val="24"/>
        </w:rPr>
        <w:t>25</w:t>
      </w:r>
      <w:r w:rsidRPr="00AC0688">
        <w:rPr>
          <w:rFonts w:eastAsia="SimSun"/>
          <w:i w:val="0"/>
          <w:noProof w:val="0"/>
          <w:sz w:val="24"/>
          <w:szCs w:val="24"/>
          <w:vertAlign w:val="superscript"/>
        </w:rPr>
        <w:t>th</w:t>
      </w:r>
      <w:r w:rsidRPr="0000187B">
        <w:rPr>
          <w:rFonts w:eastAsia="SimSun"/>
          <w:i w:val="0"/>
          <w:noProof w:val="0"/>
          <w:sz w:val="24"/>
          <w:szCs w:val="24"/>
        </w:rPr>
        <w:t xml:space="preserve"> – </w:t>
      </w:r>
      <w:r>
        <w:rPr>
          <w:rFonts w:eastAsia="SimSun"/>
          <w:i w:val="0"/>
          <w:noProof w:val="0"/>
          <w:sz w:val="24"/>
          <w:szCs w:val="24"/>
        </w:rPr>
        <w:t>June 5</w:t>
      </w:r>
      <w:r w:rsidRPr="00AC0688">
        <w:rPr>
          <w:rFonts w:eastAsia="SimSun"/>
          <w:i w:val="0"/>
          <w:noProof w:val="0"/>
          <w:sz w:val="24"/>
          <w:szCs w:val="24"/>
          <w:vertAlign w:val="superscript"/>
        </w:rPr>
        <w:t>th</w:t>
      </w:r>
      <w:r w:rsidRPr="0000187B">
        <w:rPr>
          <w:rFonts w:eastAsia="SimSun"/>
          <w:i w:val="0"/>
          <w:noProof w:val="0"/>
          <w:sz w:val="24"/>
          <w:szCs w:val="24"/>
        </w:rPr>
        <w:t>, 20</w:t>
      </w:r>
      <w:r>
        <w:rPr>
          <w:rFonts w:eastAsia="SimSun"/>
          <w:i w:val="0"/>
          <w:noProof w:val="0"/>
          <w:sz w:val="24"/>
          <w:szCs w:val="24"/>
        </w:rPr>
        <w:t>20</w:t>
      </w:r>
    </w:p>
    <w:p w14:paraId="32E1D30B" w14:textId="77777777" w:rsidR="007F1ACE" w:rsidRDefault="007F1ACE" w:rsidP="007F1ACE">
      <w:pPr>
        <w:pStyle w:val="Footer"/>
        <w:jc w:val="both"/>
        <w:rPr>
          <w:noProof w:val="0"/>
        </w:rPr>
      </w:pPr>
    </w:p>
    <w:p w14:paraId="1C6A13CE" w14:textId="3D8C11CE" w:rsidR="007F1ACE" w:rsidRPr="00A510C0" w:rsidRDefault="007F1ACE" w:rsidP="007F1ACE">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2B2839">
        <w:rPr>
          <w:rFonts w:ascii="Arial" w:hAnsi="Arial"/>
          <w:b/>
          <w:bCs/>
          <w:sz w:val="24"/>
        </w:rPr>
        <w:t xml:space="preserve">Discussion </w:t>
      </w:r>
      <w:r w:rsidR="00D6767F">
        <w:rPr>
          <w:rFonts w:ascii="Arial" w:hAnsi="Arial"/>
          <w:b/>
          <w:bCs/>
          <w:sz w:val="24"/>
        </w:rPr>
        <w:t>regarding RRC Connection Mobility Control in IAB Networks</w:t>
      </w:r>
      <w:r w:rsidR="002B2839">
        <w:rPr>
          <w:rFonts w:ascii="Arial" w:hAnsi="Arial"/>
          <w:b/>
          <w:bCs/>
          <w:sz w:val="24"/>
        </w:rPr>
        <w:t xml:space="preserve"> </w:t>
      </w:r>
    </w:p>
    <w:p w14:paraId="2C869244" w14:textId="77777777" w:rsidR="007F1ACE" w:rsidRPr="00D372E9" w:rsidRDefault="007F1ACE" w:rsidP="007F1ACE">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41A5F8AB" w14:textId="0687D477" w:rsidR="007F1ACE" w:rsidRPr="002E1604" w:rsidRDefault="007F1ACE" w:rsidP="007F1ACE">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Pr>
          <w:rFonts w:ascii="Arial" w:hAnsi="Arial"/>
          <w:b/>
          <w:sz w:val="24"/>
        </w:rPr>
        <w:t>6</w:t>
      </w:r>
      <w:r w:rsidRPr="00F8264D">
        <w:rPr>
          <w:rFonts w:ascii="Arial" w:hAnsi="Arial"/>
          <w:b/>
          <w:sz w:val="24"/>
        </w:rPr>
        <w:t>.</w:t>
      </w:r>
      <w:r>
        <w:rPr>
          <w:rFonts w:ascii="Arial" w:hAnsi="Arial"/>
          <w:b/>
          <w:sz w:val="24"/>
        </w:rPr>
        <w:t>5.3.</w:t>
      </w:r>
      <w:r w:rsidR="0053178E">
        <w:rPr>
          <w:rFonts w:ascii="Arial" w:hAnsi="Arial"/>
          <w:b/>
          <w:sz w:val="24"/>
        </w:rPr>
        <w:t>2</w:t>
      </w:r>
      <w:r w:rsidRPr="00F8264D">
        <w:rPr>
          <w:rFonts w:ascii="Arial" w:hAnsi="Arial"/>
          <w:b/>
          <w:sz w:val="24"/>
        </w:rPr>
        <w:tab/>
      </w:r>
    </w:p>
    <w:p w14:paraId="17419A48" w14:textId="77777777" w:rsidR="007F1ACE" w:rsidRPr="00E15948" w:rsidRDefault="007F1ACE" w:rsidP="007F1ACE">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4AC86DAF" w14:textId="77777777" w:rsidR="007F1ACE" w:rsidRDefault="00E07713" w:rsidP="007F1ACE">
      <w:r>
        <w:pict w14:anchorId="6E66FD3A">
          <v:rect id="_x0000_i1025" style="width:0;height:1.5pt" o:hralign="center" o:hrstd="t" o:hr="t" fillcolor="#a0a0a0" stroked="f"/>
        </w:pict>
      </w:r>
    </w:p>
    <w:p w14:paraId="0624AEE4" w14:textId="77777777" w:rsidR="007F1ACE" w:rsidRDefault="007F1ACE" w:rsidP="007F1ACE">
      <w:pPr>
        <w:pStyle w:val="Heading1"/>
      </w:pPr>
      <w:r w:rsidRPr="00E15948">
        <w:t>Introduction</w:t>
      </w:r>
    </w:p>
    <w:p w14:paraId="48560BE9" w14:textId="77777777" w:rsidR="007F1ACE" w:rsidRDefault="007F1ACE" w:rsidP="007F1ACE">
      <w:r>
        <w:t>During the last meeting, RAN4 made the following agreement [1]:</w:t>
      </w:r>
    </w:p>
    <w:tbl>
      <w:tblPr>
        <w:tblStyle w:val="TableGrid"/>
        <w:tblW w:w="0" w:type="auto"/>
        <w:tblLook w:val="04A0" w:firstRow="1" w:lastRow="0" w:firstColumn="1" w:lastColumn="0" w:noHBand="0" w:noVBand="1"/>
      </w:tblPr>
      <w:tblGrid>
        <w:gridCol w:w="9350"/>
      </w:tblGrid>
      <w:tr w:rsidR="007F1ACE" w:rsidRPr="00CC1587" w14:paraId="3964229F" w14:textId="77777777" w:rsidTr="00DA72F3">
        <w:tc>
          <w:tcPr>
            <w:tcW w:w="9350" w:type="dxa"/>
          </w:tcPr>
          <w:p w14:paraId="2813D47E" w14:textId="77777777" w:rsidR="007F1ACE" w:rsidRPr="00243694" w:rsidRDefault="007F1ACE" w:rsidP="00DA72F3">
            <w:pPr>
              <w:rPr>
                <w:iCs/>
                <w:lang w:eastAsia="zh-CN"/>
              </w:rPr>
            </w:pPr>
            <w:r w:rsidRPr="00243694">
              <w:rPr>
                <w:iCs/>
                <w:lang w:eastAsia="zh-CN"/>
              </w:rPr>
              <w:t>Down-select from following options during the next meeting</w:t>
            </w:r>
          </w:p>
          <w:p w14:paraId="1BCBC05D" w14:textId="77777777" w:rsidR="007F1ACE" w:rsidRPr="00243694" w:rsidRDefault="007F1ACE" w:rsidP="00DA72F3">
            <w:pPr>
              <w:rPr>
                <w:iCs/>
                <w:lang w:eastAsia="zh-CN"/>
              </w:rPr>
            </w:pPr>
          </w:p>
          <w:p w14:paraId="729F7A69" w14:textId="77777777" w:rsidR="007F1ACE" w:rsidRPr="00243694" w:rsidRDefault="007F1ACE" w:rsidP="007F1ACE">
            <w:pPr>
              <w:pStyle w:val="ListParagraph"/>
              <w:numPr>
                <w:ilvl w:val="0"/>
                <w:numId w:val="2"/>
              </w:numPr>
              <w:overflowPunct w:val="0"/>
              <w:autoSpaceDE w:val="0"/>
              <w:autoSpaceDN w:val="0"/>
              <w:adjustRightInd w:val="0"/>
              <w:spacing w:after="180"/>
              <w:contextualSpacing w:val="0"/>
              <w:textAlignment w:val="baseline"/>
              <w:rPr>
                <w:iCs/>
                <w:sz w:val="20"/>
                <w:szCs w:val="20"/>
              </w:rPr>
            </w:pPr>
            <w:r w:rsidRPr="00243694">
              <w:rPr>
                <w:iCs/>
                <w:sz w:val="20"/>
                <w:szCs w:val="20"/>
                <w:u w:val="single"/>
              </w:rPr>
              <w:t>Option 1:</w:t>
            </w:r>
            <w:r w:rsidRPr="00243694">
              <w:rPr>
                <w:iCs/>
                <w:sz w:val="20"/>
                <w:szCs w:val="20"/>
              </w:rPr>
              <w:t xml:space="preserve"> Requirements should be derived based on Rel-16 RAN1 IAB-MT related agreements, i.e., by assuming each IAB-MT can be configured up to four SMTC windows per frequency layer.</w:t>
            </w:r>
          </w:p>
          <w:p w14:paraId="6B280B0C" w14:textId="77777777" w:rsidR="007F1ACE" w:rsidRPr="00243694" w:rsidRDefault="007F1ACE" w:rsidP="007F1ACE">
            <w:pPr>
              <w:pStyle w:val="ListParagraph"/>
              <w:numPr>
                <w:ilvl w:val="0"/>
                <w:numId w:val="2"/>
              </w:numPr>
              <w:overflowPunct w:val="0"/>
              <w:autoSpaceDE w:val="0"/>
              <w:autoSpaceDN w:val="0"/>
              <w:adjustRightInd w:val="0"/>
              <w:spacing w:after="180"/>
              <w:contextualSpacing w:val="0"/>
              <w:textAlignment w:val="baseline"/>
              <w:rPr>
                <w:iCs/>
                <w:sz w:val="20"/>
                <w:szCs w:val="20"/>
              </w:rPr>
            </w:pPr>
            <w:r w:rsidRPr="00243694">
              <w:rPr>
                <w:iCs/>
                <w:sz w:val="20"/>
                <w:szCs w:val="20"/>
                <w:u w:val="single"/>
              </w:rPr>
              <w:t>Option 2:</w:t>
            </w:r>
            <w:r w:rsidRPr="00243694">
              <w:rPr>
                <w:iCs/>
                <w:sz w:val="20"/>
                <w:szCs w:val="20"/>
              </w:rPr>
              <w:t xml:space="preserve"> Requirements should be derived based on Rel-15 UE requirements, i.e., by assuming each IAB-MT can be configured up to two and one SMTC windows per intra-frequency and inter-frequency layers respectively.</w:t>
            </w:r>
          </w:p>
          <w:p w14:paraId="7A3CC3C4" w14:textId="77777777" w:rsidR="007F1ACE" w:rsidRPr="00243694" w:rsidRDefault="007F1ACE" w:rsidP="007F1ACE">
            <w:pPr>
              <w:pStyle w:val="ListParagraph"/>
              <w:numPr>
                <w:ilvl w:val="0"/>
                <w:numId w:val="2"/>
              </w:numPr>
              <w:overflowPunct w:val="0"/>
              <w:autoSpaceDE w:val="0"/>
              <w:autoSpaceDN w:val="0"/>
              <w:adjustRightInd w:val="0"/>
              <w:spacing w:after="180"/>
              <w:contextualSpacing w:val="0"/>
              <w:textAlignment w:val="baseline"/>
              <w:rPr>
                <w:iCs/>
                <w:sz w:val="20"/>
                <w:szCs w:val="20"/>
                <w:u w:val="single"/>
              </w:rPr>
            </w:pPr>
            <w:r w:rsidRPr="00243694">
              <w:rPr>
                <w:iCs/>
                <w:sz w:val="20"/>
                <w:szCs w:val="20"/>
                <w:u w:val="single"/>
              </w:rPr>
              <w:t>Option 3:</w:t>
            </w:r>
          </w:p>
          <w:p w14:paraId="082F3283" w14:textId="77777777" w:rsidR="007F1ACE" w:rsidRPr="00243694" w:rsidRDefault="007F1ACE" w:rsidP="007F1ACE">
            <w:pPr>
              <w:pStyle w:val="ListParagraph"/>
              <w:numPr>
                <w:ilvl w:val="1"/>
                <w:numId w:val="2"/>
              </w:numPr>
              <w:overflowPunct w:val="0"/>
              <w:autoSpaceDE w:val="0"/>
              <w:autoSpaceDN w:val="0"/>
              <w:adjustRightInd w:val="0"/>
              <w:spacing w:after="180"/>
              <w:contextualSpacing w:val="0"/>
              <w:textAlignment w:val="baseline"/>
              <w:rPr>
                <w:iCs/>
                <w:sz w:val="20"/>
                <w:szCs w:val="20"/>
              </w:rPr>
            </w:pPr>
            <w:r w:rsidRPr="00243694">
              <w:rPr>
                <w:iCs/>
                <w:sz w:val="20"/>
                <w:szCs w:val="20"/>
              </w:rPr>
              <w:t>For IAB-MTs that support four SMTC configurations per frequency layer, option 1 is supported.</w:t>
            </w:r>
          </w:p>
          <w:p w14:paraId="15B18C42" w14:textId="77777777" w:rsidR="007F1ACE" w:rsidRPr="00243694" w:rsidRDefault="007F1ACE" w:rsidP="007F1ACE">
            <w:pPr>
              <w:pStyle w:val="ListParagraph"/>
              <w:numPr>
                <w:ilvl w:val="1"/>
                <w:numId w:val="2"/>
              </w:numPr>
              <w:overflowPunct w:val="0"/>
              <w:autoSpaceDE w:val="0"/>
              <w:autoSpaceDN w:val="0"/>
              <w:adjustRightInd w:val="0"/>
              <w:spacing w:after="180"/>
              <w:contextualSpacing w:val="0"/>
              <w:textAlignment w:val="baseline"/>
              <w:rPr>
                <w:iCs/>
                <w:sz w:val="20"/>
                <w:szCs w:val="20"/>
              </w:rPr>
            </w:pPr>
            <w:r w:rsidRPr="00243694">
              <w:rPr>
                <w:iCs/>
                <w:sz w:val="20"/>
                <w:szCs w:val="20"/>
              </w:rPr>
              <w:t>For IAB-MTs that do not support four SMTC configurations per frequency layer, option 2 is supported.</w:t>
            </w:r>
          </w:p>
          <w:p w14:paraId="575E6A16" w14:textId="77777777" w:rsidR="007F1ACE" w:rsidRPr="00243694" w:rsidRDefault="007F1ACE" w:rsidP="007F1ACE">
            <w:pPr>
              <w:pStyle w:val="ListParagraph"/>
              <w:numPr>
                <w:ilvl w:val="1"/>
                <w:numId w:val="2"/>
              </w:numPr>
              <w:overflowPunct w:val="0"/>
              <w:autoSpaceDE w:val="0"/>
              <w:autoSpaceDN w:val="0"/>
              <w:adjustRightInd w:val="0"/>
              <w:spacing w:after="180"/>
              <w:contextualSpacing w:val="0"/>
              <w:textAlignment w:val="baseline"/>
              <w:rPr>
                <w:iCs/>
                <w:sz w:val="20"/>
                <w:szCs w:val="20"/>
              </w:rPr>
            </w:pPr>
            <w:r w:rsidRPr="00243694">
              <w:rPr>
                <w:iCs/>
                <w:sz w:val="20"/>
                <w:szCs w:val="20"/>
              </w:rPr>
              <w:t xml:space="preserve">Note: </w:t>
            </w:r>
          </w:p>
          <w:p w14:paraId="5C18AAFA" w14:textId="77777777" w:rsidR="007F1ACE" w:rsidRPr="00243694" w:rsidRDefault="007F1ACE" w:rsidP="007F1ACE">
            <w:pPr>
              <w:pStyle w:val="ListParagraph"/>
              <w:numPr>
                <w:ilvl w:val="2"/>
                <w:numId w:val="2"/>
              </w:numPr>
              <w:overflowPunct w:val="0"/>
              <w:autoSpaceDE w:val="0"/>
              <w:autoSpaceDN w:val="0"/>
              <w:adjustRightInd w:val="0"/>
              <w:spacing w:after="180"/>
              <w:contextualSpacing w:val="0"/>
              <w:textAlignment w:val="baseline"/>
              <w:rPr>
                <w:iCs/>
                <w:sz w:val="20"/>
                <w:szCs w:val="20"/>
                <w:highlight w:val="yellow"/>
              </w:rPr>
            </w:pPr>
            <w:r w:rsidRPr="00243694">
              <w:rPr>
                <w:iCs/>
                <w:sz w:val="20"/>
                <w:szCs w:val="20"/>
              </w:rPr>
              <w:t>This option does not intend to influence RAN1 feature list discussion regarding whether supporting four SMTC configurations per frequency layer should be mandatory or optional. If RAN1 eventually decides to make this feature, i.e., supporting for SMTC configurations per frequency layer mandatory, mandatory then only option 1 will be supported in RAN4 requirements.</w:t>
            </w:r>
          </w:p>
        </w:tc>
      </w:tr>
    </w:tbl>
    <w:p w14:paraId="743511BF" w14:textId="77777777" w:rsidR="007F1ACE" w:rsidRDefault="007F1ACE" w:rsidP="007F1ACE"/>
    <w:p w14:paraId="40DB1347" w14:textId="0EF8A741" w:rsidR="007F1ACE" w:rsidRPr="008E472F" w:rsidRDefault="007F1ACE" w:rsidP="007F1ACE">
      <w:r>
        <w:t>We discuss this issue in this meeting and provide our opinions.</w:t>
      </w:r>
    </w:p>
    <w:p w14:paraId="2F7F5C17" w14:textId="77777777" w:rsidR="007F1ACE" w:rsidRDefault="007F1ACE" w:rsidP="007F1ACE">
      <w:pPr>
        <w:pStyle w:val="Heading1"/>
      </w:pPr>
      <w:r>
        <w:t xml:space="preserve">Discussion </w:t>
      </w:r>
    </w:p>
    <w:p w14:paraId="43FCBB44" w14:textId="77777777" w:rsidR="007F1ACE" w:rsidRDefault="007F1ACE" w:rsidP="007F1ACE">
      <w:r>
        <w:t>RAN1 made the following agreement during the last meeting [2]:</w:t>
      </w:r>
    </w:p>
    <w:p w14:paraId="51A90288" w14:textId="77777777" w:rsidR="007F1ACE" w:rsidRDefault="007F1ACE" w:rsidP="007F1ACE">
      <w:pPr>
        <w:rPr>
          <w:rFonts w:ascii="Times" w:eastAsiaTheme="minorHAnsi" w:hAnsi="Times" w:cs="Calibri"/>
          <w:sz w:val="20"/>
          <w:szCs w:val="20"/>
          <w:lang w:val="en-GB"/>
        </w:rPr>
      </w:pPr>
    </w:p>
    <w:p w14:paraId="5BD30BA6" w14:textId="77777777" w:rsidR="007F1ACE" w:rsidRDefault="007F1ACE" w:rsidP="007F1ACE"/>
    <w:tbl>
      <w:tblPr>
        <w:tblStyle w:val="TableGrid"/>
        <w:tblW w:w="0" w:type="auto"/>
        <w:tblLook w:val="04A0" w:firstRow="1" w:lastRow="0" w:firstColumn="1" w:lastColumn="0" w:noHBand="0" w:noVBand="1"/>
      </w:tblPr>
      <w:tblGrid>
        <w:gridCol w:w="9350"/>
      </w:tblGrid>
      <w:tr w:rsidR="007F1ACE" w:rsidRPr="00CC1587" w14:paraId="546EBC52" w14:textId="77777777" w:rsidTr="00DA72F3">
        <w:tc>
          <w:tcPr>
            <w:tcW w:w="9350" w:type="dxa"/>
          </w:tcPr>
          <w:p w14:paraId="4A72BCE4" w14:textId="77777777" w:rsidR="007F1ACE" w:rsidRDefault="007F1ACE" w:rsidP="00DA72F3">
            <w:pPr>
              <w:pStyle w:val="maintext"/>
              <w:ind w:firstLine="0"/>
              <w:rPr>
                <w:rFonts w:ascii="Times New Roman" w:hAnsi="Times New Roman"/>
                <w:highlight w:val="green"/>
              </w:rPr>
            </w:pPr>
            <w:r>
              <w:rPr>
                <w:rFonts w:ascii="Calibri" w:hAnsi="Calibri"/>
                <w:highlight w:val="green"/>
                <w:lang w:val="en-GB"/>
              </w:rPr>
              <w:t>Agreements:</w:t>
            </w:r>
          </w:p>
          <w:tbl>
            <w:tblPr>
              <w:tblW w:w="0" w:type="auto"/>
              <w:tblCellMar>
                <w:left w:w="0" w:type="dxa"/>
                <w:right w:w="0" w:type="dxa"/>
              </w:tblCellMar>
              <w:tblLook w:val="04A0" w:firstRow="1" w:lastRow="0" w:firstColumn="1" w:lastColumn="0" w:noHBand="0" w:noVBand="1"/>
            </w:tblPr>
            <w:tblGrid>
              <w:gridCol w:w="512"/>
              <w:gridCol w:w="1848"/>
              <w:gridCol w:w="1779"/>
              <w:gridCol w:w="1831"/>
              <w:gridCol w:w="705"/>
              <w:gridCol w:w="862"/>
              <w:gridCol w:w="1577"/>
            </w:tblGrid>
            <w:tr w:rsidR="007F1ACE" w14:paraId="276A4E96" w14:textId="77777777" w:rsidTr="00DA72F3">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C54BA6" w14:textId="77777777" w:rsidR="007F1ACE" w:rsidRPr="00EA6A86" w:rsidRDefault="007F1ACE" w:rsidP="00DA72F3">
                  <w:pPr>
                    <w:pStyle w:val="TAL"/>
                    <w:rPr>
                      <w:rFonts w:asciiTheme="minorHAnsi" w:hAnsiTheme="minorHAnsi" w:cstheme="minorHAnsi"/>
                      <w:color w:val="000000"/>
                      <w:lang w:val="en-GB"/>
                    </w:rPr>
                  </w:pPr>
                  <w:r w:rsidRPr="00EA6A86">
                    <w:rPr>
                      <w:rFonts w:asciiTheme="minorHAnsi" w:hAnsiTheme="minorHAnsi" w:cstheme="minorHAnsi"/>
                      <w:color w:val="000000"/>
                      <w:lang w:val="en-GB"/>
                    </w:rPr>
                    <w:t>20-2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F3EA75" w14:textId="77777777" w:rsidR="007F1ACE" w:rsidRPr="00EA6A86" w:rsidRDefault="007F1ACE" w:rsidP="00DA72F3">
                  <w:pPr>
                    <w:pStyle w:val="TAL"/>
                    <w:rPr>
                      <w:rFonts w:asciiTheme="minorHAnsi" w:hAnsiTheme="minorHAnsi" w:cstheme="minorHAnsi"/>
                      <w:color w:val="000000"/>
                      <w:lang w:val="en-GB"/>
                    </w:rPr>
                  </w:pPr>
                  <w:r w:rsidRPr="00EA6A86">
                    <w:rPr>
                      <w:rFonts w:asciiTheme="minorHAnsi" w:hAnsiTheme="minorHAnsi" w:cstheme="minorHAnsi"/>
                      <w:color w:val="000000"/>
                      <w:lang w:val="en-GB"/>
                    </w:rPr>
                    <w:t xml:space="preserve">Inter-IAB-node discovery and measurements: SSB reception configuration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66B76" w14:textId="77777777" w:rsidR="007F1ACE" w:rsidRPr="00EA6A86" w:rsidRDefault="007F1ACE" w:rsidP="00DA72F3">
                  <w:pPr>
                    <w:pStyle w:val="TAL"/>
                    <w:rPr>
                      <w:rFonts w:asciiTheme="minorHAnsi" w:hAnsiTheme="minorHAnsi" w:cstheme="minorHAnsi"/>
                      <w:color w:val="000000"/>
                      <w:lang w:val="en-GB"/>
                    </w:rPr>
                  </w:pPr>
                  <w:r w:rsidRPr="00EA6A86">
                    <w:rPr>
                      <w:rFonts w:asciiTheme="minorHAnsi" w:hAnsiTheme="minorHAnsi" w:cstheme="minorHAnsi"/>
                      <w:color w:val="000000"/>
                      <w:lang w:val="en-GB" w:eastAsia="zh-CN"/>
                    </w:rPr>
                    <w:t>Support up to 4 SMTCs configured for an IAB node MT per frequency location, including IAB-specific SMTC window periodicities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05695C" w14:textId="77777777" w:rsidR="007F1ACE" w:rsidRPr="00EA6A86" w:rsidRDefault="007F1ACE" w:rsidP="00DA72F3">
                  <w:pPr>
                    <w:pStyle w:val="TAL"/>
                    <w:rPr>
                      <w:rFonts w:asciiTheme="minorHAnsi" w:hAnsiTheme="minorHAnsi" w:cstheme="minorHAnsi"/>
                      <w:color w:val="000000"/>
                      <w:lang w:val="en-GB"/>
                    </w:rPr>
                  </w:pPr>
                  <w:r w:rsidRPr="00EA6A86">
                    <w:rPr>
                      <w:rFonts w:asciiTheme="minorHAnsi" w:hAnsiTheme="minorHAnsi" w:cstheme="minorHAnsi"/>
                      <w:color w:val="000000"/>
                      <w:lang w:val="en-GB" w:eastAsia="zh-CN"/>
                    </w:rPr>
                    <w:t>Separate configuration of SMTC windows for Inter-IAB node discovery and measurement is not possible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79994" w14:textId="77777777" w:rsidR="007F1ACE" w:rsidRPr="00EA6A86" w:rsidRDefault="007F1ACE" w:rsidP="00DA72F3">
                  <w:pPr>
                    <w:pStyle w:val="TAL"/>
                    <w:rPr>
                      <w:rFonts w:asciiTheme="minorHAnsi" w:hAnsiTheme="minorHAnsi" w:cstheme="minorHAnsi"/>
                      <w:color w:val="000000"/>
                      <w:lang w:val="en-GB"/>
                    </w:rPr>
                  </w:pPr>
                  <w:r w:rsidRPr="00EA6A86">
                    <w:rPr>
                      <w:rFonts w:asciiTheme="minorHAnsi" w:hAnsiTheme="minorHAnsi" w:cstheme="minorHAnsi"/>
                      <w:color w:val="000000"/>
                      <w:lang w:val="en-GB" w:eastAsia="zh-CN"/>
                    </w:rPr>
                    <w:t>per IAB node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BBB495" w14:textId="77777777" w:rsidR="007F1ACE" w:rsidRPr="00EA6A86" w:rsidRDefault="007F1ACE" w:rsidP="00DA72F3">
                  <w:pPr>
                    <w:pStyle w:val="TAL"/>
                    <w:rPr>
                      <w:rFonts w:asciiTheme="minorHAnsi" w:hAnsiTheme="minorHAnsi" w:cstheme="minorHAnsi"/>
                      <w:color w:val="000000"/>
                      <w:lang w:val="en-GB"/>
                    </w:rPr>
                  </w:pPr>
                  <w:r w:rsidRPr="00EA6A86">
                    <w:rPr>
                      <w:rFonts w:asciiTheme="minorHAnsi" w:hAnsiTheme="minorHAnsi" w:cstheme="minorHAnsi"/>
                      <w:color w:val="000000"/>
                      <w:lang w:val="en-GB" w:eastAsia="zh-CN"/>
                    </w:rPr>
                    <w:t>IAB-MT impact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0B8E9A" w14:textId="77777777" w:rsidR="007F1ACE" w:rsidRPr="00EA6A86" w:rsidRDefault="007F1ACE" w:rsidP="00DA72F3">
                  <w:pPr>
                    <w:pStyle w:val="TAL"/>
                    <w:rPr>
                      <w:rFonts w:asciiTheme="minorHAnsi" w:hAnsiTheme="minorHAnsi" w:cstheme="minorHAnsi"/>
                      <w:color w:val="000000"/>
                      <w:lang w:val="en-GB"/>
                    </w:rPr>
                  </w:pPr>
                  <w:r w:rsidRPr="00EA6A86">
                    <w:rPr>
                      <w:rFonts w:asciiTheme="minorHAnsi" w:hAnsiTheme="minorHAnsi" w:cstheme="minorHAnsi"/>
                      <w:color w:val="000000"/>
                      <w:lang w:val="en-GB"/>
                    </w:rPr>
                    <w:t xml:space="preserve">Optional with capability signalling. </w:t>
                  </w:r>
                  <w:r w:rsidRPr="00EA6A86">
                    <w:rPr>
                      <w:rFonts w:asciiTheme="minorHAnsi" w:hAnsiTheme="minorHAnsi" w:cstheme="minorHAnsi"/>
                      <w:color w:val="000000"/>
                      <w:lang w:val="en-GB" w:eastAsia="zh-CN"/>
                    </w:rPr>
                    <w:t>[Devices supporting IAB backhaul must report this FG as supported]</w:t>
                  </w:r>
                </w:p>
              </w:tc>
            </w:tr>
          </w:tbl>
          <w:p w14:paraId="3455A384" w14:textId="77777777" w:rsidR="007F1ACE" w:rsidRPr="00AE7020" w:rsidRDefault="007F1ACE" w:rsidP="00DA72F3">
            <w:pPr>
              <w:overflowPunct w:val="0"/>
              <w:autoSpaceDE w:val="0"/>
              <w:autoSpaceDN w:val="0"/>
              <w:adjustRightInd w:val="0"/>
              <w:spacing w:after="180"/>
              <w:ind w:left="1800"/>
              <w:textAlignment w:val="baseline"/>
              <w:rPr>
                <w:iCs/>
                <w:sz w:val="20"/>
                <w:szCs w:val="20"/>
                <w:highlight w:val="yellow"/>
              </w:rPr>
            </w:pPr>
          </w:p>
        </w:tc>
      </w:tr>
    </w:tbl>
    <w:p w14:paraId="373B6690" w14:textId="77777777" w:rsidR="007F1ACE" w:rsidRDefault="007F1ACE" w:rsidP="007F1ACE"/>
    <w:p w14:paraId="7CDA74CE" w14:textId="77777777" w:rsidR="007F1ACE" w:rsidRDefault="007F1ACE" w:rsidP="007F1ACE">
      <w:r>
        <w:t>Since RAN1 has agreed that supporting up to 4 SMTCs configurated for an IAB node MT per frequency locations is an optional capability, option 3 should be selected. Requirements should be designed based on the capability of IAB-MT. Two different sets of performance tests can be designed to test each group of IAB-MTs.</w:t>
      </w:r>
    </w:p>
    <w:p w14:paraId="63C00283" w14:textId="77777777" w:rsidR="007F1ACE" w:rsidRDefault="007F1ACE" w:rsidP="007F1ACE">
      <w:r w:rsidRPr="00E97B2D">
        <w:rPr>
          <w:b/>
          <w:bCs/>
          <w:u w:val="single"/>
        </w:rPr>
        <w:t>Observation 1:</w:t>
      </w:r>
      <w:r>
        <w:t xml:space="preserve"> RAN1 has agreed that supporting up to 4 SMTCs configurated for an IAB node MT per frequency locations is an optional capability.</w:t>
      </w:r>
    </w:p>
    <w:p w14:paraId="582D4935" w14:textId="77777777" w:rsidR="007F1ACE" w:rsidRPr="00E97B2D" w:rsidRDefault="007F1ACE" w:rsidP="007F1ACE">
      <w:pPr>
        <w:rPr>
          <w:b/>
          <w:bCs/>
          <w:u w:val="single"/>
        </w:rPr>
      </w:pPr>
      <w:r w:rsidRPr="00E97B2D">
        <w:rPr>
          <w:b/>
          <w:bCs/>
          <w:u w:val="single"/>
        </w:rPr>
        <w:t xml:space="preserve">Proposal 1: </w:t>
      </w:r>
    </w:p>
    <w:p w14:paraId="5C5E6C7D" w14:textId="77777777" w:rsidR="007F1ACE" w:rsidRPr="008F6AE2" w:rsidRDefault="007F1ACE" w:rsidP="007F1ACE">
      <w:pPr>
        <w:pStyle w:val="ListParagraph"/>
        <w:numPr>
          <w:ilvl w:val="0"/>
          <w:numId w:val="4"/>
        </w:numPr>
        <w:rPr>
          <w:iCs/>
        </w:rPr>
      </w:pPr>
      <w:r w:rsidRPr="008F6AE2">
        <w:rPr>
          <w:iCs/>
        </w:rPr>
        <w:t>For IAB-MTs that support four SMTC configurations per frequency layer, requirements should be derived by assuming each IAB-MT can be configured up to four SMTC windows per frequency layer.</w:t>
      </w:r>
    </w:p>
    <w:p w14:paraId="7929EC47" w14:textId="533619C9" w:rsidR="007F1ACE" w:rsidRDefault="007F1ACE" w:rsidP="007F1ACE">
      <w:pPr>
        <w:pStyle w:val="ListParagraph"/>
        <w:numPr>
          <w:ilvl w:val="0"/>
          <w:numId w:val="2"/>
        </w:numPr>
        <w:overflowPunct w:val="0"/>
        <w:autoSpaceDE w:val="0"/>
        <w:autoSpaceDN w:val="0"/>
        <w:adjustRightInd w:val="0"/>
        <w:spacing w:after="180" w:line="240" w:lineRule="auto"/>
        <w:contextualSpacing w:val="0"/>
        <w:textAlignment w:val="baseline"/>
        <w:rPr>
          <w:iCs/>
        </w:rPr>
      </w:pPr>
      <w:r w:rsidRPr="008F6AE2">
        <w:rPr>
          <w:iCs/>
        </w:rPr>
        <w:t>For IAB-MTs that don’t support four SMTC configurations per frequency layer, requirements should be derived by assuming each IAB-MT can be configured up to two and one SMTC windows per intra-frequency and inter-frequency layers respectively.</w:t>
      </w:r>
    </w:p>
    <w:p w14:paraId="5D8823BC" w14:textId="47B4454F" w:rsidR="00DD64AC" w:rsidRPr="00D13948" w:rsidRDefault="00DD64AC" w:rsidP="007F1ACE">
      <w:pPr>
        <w:pStyle w:val="ListParagraph"/>
        <w:numPr>
          <w:ilvl w:val="0"/>
          <w:numId w:val="2"/>
        </w:numPr>
        <w:overflowPunct w:val="0"/>
        <w:autoSpaceDE w:val="0"/>
        <w:autoSpaceDN w:val="0"/>
        <w:adjustRightInd w:val="0"/>
        <w:spacing w:after="180" w:line="240" w:lineRule="auto"/>
        <w:contextualSpacing w:val="0"/>
        <w:textAlignment w:val="baseline"/>
        <w:rPr>
          <w:rFonts w:cstheme="minorHAnsi"/>
          <w:iCs/>
        </w:rPr>
      </w:pPr>
      <w:r w:rsidRPr="00D13948">
        <w:rPr>
          <w:rFonts w:cstheme="minorHAnsi"/>
          <w:iCs/>
        </w:rPr>
        <w:t xml:space="preserve">A TP capturing this </w:t>
      </w:r>
      <w:r w:rsidR="006336E7" w:rsidRPr="00D13948">
        <w:rPr>
          <w:rFonts w:cstheme="minorHAnsi"/>
          <w:iCs/>
        </w:rPr>
        <w:t xml:space="preserve">proposal is shown in </w:t>
      </w:r>
      <w:r w:rsidR="00D13948" w:rsidRPr="00D13948">
        <w:rPr>
          <w:rFonts w:eastAsia="Times New Roman" w:cstheme="minorHAnsi"/>
        </w:rPr>
        <w:t>R4-2007489</w:t>
      </w:r>
      <w:r w:rsidR="00D13948">
        <w:rPr>
          <w:rFonts w:eastAsia="Times New Roman" w:cstheme="minorHAnsi"/>
        </w:rPr>
        <w:t>.</w:t>
      </w:r>
    </w:p>
    <w:p w14:paraId="58D83907" w14:textId="1DC00D8F" w:rsidR="007F1ACE" w:rsidRDefault="007F1ACE">
      <w:pPr>
        <w:pStyle w:val="Heading1"/>
      </w:pPr>
      <w:r>
        <w:t>Conclusion</w:t>
      </w:r>
    </w:p>
    <w:p w14:paraId="5A93411D" w14:textId="77777777" w:rsidR="007F1ACE" w:rsidRDefault="007F1ACE" w:rsidP="007F1ACE">
      <w:r w:rsidRPr="00E97B2D">
        <w:rPr>
          <w:b/>
          <w:bCs/>
          <w:u w:val="single"/>
        </w:rPr>
        <w:t>Observation 1:</w:t>
      </w:r>
      <w:r>
        <w:t xml:space="preserve"> RAN1 has agreed that supporting up to 4 SMTCs configurated for an IAB node MT per frequency locations is an optional capability.</w:t>
      </w:r>
    </w:p>
    <w:p w14:paraId="5E35EEFE" w14:textId="77777777" w:rsidR="007F1ACE" w:rsidRPr="00E97B2D" w:rsidRDefault="007F1ACE" w:rsidP="007F1ACE">
      <w:pPr>
        <w:rPr>
          <w:b/>
          <w:bCs/>
          <w:u w:val="single"/>
        </w:rPr>
      </w:pPr>
      <w:r w:rsidRPr="00E97B2D">
        <w:rPr>
          <w:b/>
          <w:bCs/>
          <w:u w:val="single"/>
        </w:rPr>
        <w:t xml:space="preserve">Proposal 1: </w:t>
      </w:r>
    </w:p>
    <w:p w14:paraId="561E70F8" w14:textId="77777777" w:rsidR="007F1ACE" w:rsidRPr="009E7652" w:rsidRDefault="007F1ACE" w:rsidP="007F1ACE">
      <w:pPr>
        <w:pStyle w:val="ListParagraph"/>
        <w:numPr>
          <w:ilvl w:val="0"/>
          <w:numId w:val="4"/>
        </w:numPr>
        <w:rPr>
          <w:iCs/>
        </w:rPr>
      </w:pPr>
      <w:r w:rsidRPr="009E7652">
        <w:rPr>
          <w:iCs/>
        </w:rPr>
        <w:t>For IAB-MTs that support four SMTC configurations per frequency layer, requirements should be derived by assuming each IAB-MT can be configured up to four SMTC windows per frequency layer.</w:t>
      </w:r>
    </w:p>
    <w:p w14:paraId="6BD4E85C" w14:textId="5AC67C60" w:rsidR="007F1ACE" w:rsidRDefault="007F1ACE" w:rsidP="007F1ACE">
      <w:pPr>
        <w:pStyle w:val="ListParagraph"/>
        <w:numPr>
          <w:ilvl w:val="0"/>
          <w:numId w:val="2"/>
        </w:numPr>
        <w:overflowPunct w:val="0"/>
        <w:autoSpaceDE w:val="0"/>
        <w:autoSpaceDN w:val="0"/>
        <w:adjustRightInd w:val="0"/>
        <w:spacing w:after="180"/>
        <w:contextualSpacing w:val="0"/>
        <w:textAlignment w:val="baseline"/>
        <w:rPr>
          <w:iCs/>
        </w:rPr>
      </w:pPr>
      <w:r w:rsidRPr="009E7652">
        <w:rPr>
          <w:iCs/>
        </w:rPr>
        <w:t>For IAB-MTs that don’t support four SMTC configurations per frequency layer, requirements should be derived by assuming each IAB-MT can be configured up to two and one SMTC windows per intra-frequency and inter-frequency layers respectively.</w:t>
      </w:r>
    </w:p>
    <w:p w14:paraId="0B9E59F3" w14:textId="786CD083" w:rsidR="00E07713" w:rsidRPr="00E07713" w:rsidRDefault="00E07713" w:rsidP="00E07713">
      <w:pPr>
        <w:pStyle w:val="ListParagraph"/>
        <w:numPr>
          <w:ilvl w:val="0"/>
          <w:numId w:val="2"/>
        </w:numPr>
        <w:overflowPunct w:val="0"/>
        <w:autoSpaceDE w:val="0"/>
        <w:autoSpaceDN w:val="0"/>
        <w:adjustRightInd w:val="0"/>
        <w:spacing w:after="180" w:line="240" w:lineRule="auto"/>
        <w:contextualSpacing w:val="0"/>
        <w:textAlignment w:val="baseline"/>
        <w:rPr>
          <w:rFonts w:cstheme="minorHAnsi"/>
          <w:iCs/>
        </w:rPr>
      </w:pPr>
      <w:r w:rsidRPr="00D13948">
        <w:rPr>
          <w:rFonts w:cstheme="minorHAnsi"/>
          <w:iCs/>
        </w:rPr>
        <w:lastRenderedPageBreak/>
        <w:t xml:space="preserve">A TP capturing this proposal is shown in </w:t>
      </w:r>
      <w:r w:rsidRPr="00D13948">
        <w:rPr>
          <w:rFonts w:eastAsia="Times New Roman" w:cstheme="minorHAnsi"/>
        </w:rPr>
        <w:t>R4-2007489</w:t>
      </w:r>
      <w:r>
        <w:rPr>
          <w:rFonts w:eastAsia="Times New Roman" w:cstheme="minorHAnsi"/>
        </w:rPr>
        <w:t>.</w:t>
      </w:r>
      <w:bookmarkStart w:id="1" w:name="_GoBack"/>
      <w:bookmarkEnd w:id="1"/>
    </w:p>
    <w:p w14:paraId="7E65AFE1" w14:textId="77777777" w:rsidR="007F1ACE" w:rsidRDefault="007F1ACE" w:rsidP="007F1ACE">
      <w:pPr>
        <w:pStyle w:val="Heading1"/>
      </w:pPr>
      <w:r>
        <w:t>References</w:t>
      </w:r>
    </w:p>
    <w:p w14:paraId="1E195462" w14:textId="77777777" w:rsidR="007F1ACE" w:rsidRDefault="007F1ACE" w:rsidP="007F1ACE">
      <w:pPr>
        <w:pStyle w:val="ListParagraph"/>
        <w:numPr>
          <w:ilvl w:val="0"/>
          <w:numId w:val="3"/>
        </w:numPr>
      </w:pPr>
      <w:r>
        <w:t>R4-2005318, WF on NR IAB RRM requirements.</w:t>
      </w:r>
    </w:p>
    <w:p w14:paraId="2D9F33FB" w14:textId="3E98E12E" w:rsidR="0099303E" w:rsidRDefault="007F1ACE" w:rsidP="007F1ACE">
      <w:pPr>
        <w:pStyle w:val="ListParagraph"/>
        <w:numPr>
          <w:ilvl w:val="0"/>
          <w:numId w:val="3"/>
        </w:numPr>
      </w:pPr>
      <w:r>
        <w:t>Chairman’s notes, 3GPP TSG WG RAN1 100-bis.</w:t>
      </w:r>
    </w:p>
    <w:sectPr w:rsidR="009930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C8F2B2F"/>
    <w:multiLevelType w:val="hybridMultilevel"/>
    <w:tmpl w:val="86AE5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371FCE"/>
    <w:multiLevelType w:val="hybridMultilevel"/>
    <w:tmpl w:val="D2E674B0"/>
    <w:lvl w:ilvl="0" w:tplc="FEBE4A86">
      <w:start w:val="1"/>
      <w:numFmt w:val="bullet"/>
      <w:lvlText w:val="•"/>
      <w:lvlJc w:val="left"/>
      <w:pPr>
        <w:tabs>
          <w:tab w:val="num" w:pos="720"/>
        </w:tabs>
        <w:ind w:left="720" w:hanging="360"/>
      </w:pPr>
      <w:rPr>
        <w:rFonts w:ascii="Arial" w:hAnsi="Arial" w:hint="default"/>
      </w:rPr>
    </w:lvl>
    <w:lvl w:ilvl="1" w:tplc="8FA8AF12">
      <w:start w:val="206"/>
      <w:numFmt w:val="bullet"/>
      <w:lvlText w:val="–"/>
      <w:lvlJc w:val="left"/>
      <w:pPr>
        <w:tabs>
          <w:tab w:val="num" w:pos="1440"/>
        </w:tabs>
        <w:ind w:left="1440" w:hanging="360"/>
      </w:pPr>
      <w:rPr>
        <w:rFonts w:ascii="Arial" w:hAnsi="Arial" w:hint="default"/>
      </w:rPr>
    </w:lvl>
    <w:lvl w:ilvl="2" w:tplc="C1DCB888">
      <w:start w:val="1"/>
      <w:numFmt w:val="bullet"/>
      <w:lvlText w:val="•"/>
      <w:lvlJc w:val="left"/>
      <w:pPr>
        <w:tabs>
          <w:tab w:val="num" w:pos="2160"/>
        </w:tabs>
        <w:ind w:left="2160" w:hanging="360"/>
      </w:pPr>
      <w:rPr>
        <w:rFonts w:ascii="Arial" w:hAnsi="Arial" w:hint="default"/>
      </w:rPr>
    </w:lvl>
    <w:lvl w:ilvl="3" w:tplc="C7FEEF08" w:tentative="1">
      <w:start w:val="1"/>
      <w:numFmt w:val="bullet"/>
      <w:lvlText w:val="•"/>
      <w:lvlJc w:val="left"/>
      <w:pPr>
        <w:tabs>
          <w:tab w:val="num" w:pos="2880"/>
        </w:tabs>
        <w:ind w:left="2880" w:hanging="360"/>
      </w:pPr>
      <w:rPr>
        <w:rFonts w:ascii="Arial" w:hAnsi="Arial" w:hint="default"/>
      </w:rPr>
    </w:lvl>
    <w:lvl w:ilvl="4" w:tplc="CC743B00" w:tentative="1">
      <w:start w:val="1"/>
      <w:numFmt w:val="bullet"/>
      <w:lvlText w:val="•"/>
      <w:lvlJc w:val="left"/>
      <w:pPr>
        <w:tabs>
          <w:tab w:val="num" w:pos="3600"/>
        </w:tabs>
        <w:ind w:left="3600" w:hanging="360"/>
      </w:pPr>
      <w:rPr>
        <w:rFonts w:ascii="Arial" w:hAnsi="Arial" w:hint="default"/>
      </w:rPr>
    </w:lvl>
    <w:lvl w:ilvl="5" w:tplc="C41C0D34" w:tentative="1">
      <w:start w:val="1"/>
      <w:numFmt w:val="bullet"/>
      <w:lvlText w:val="•"/>
      <w:lvlJc w:val="left"/>
      <w:pPr>
        <w:tabs>
          <w:tab w:val="num" w:pos="4320"/>
        </w:tabs>
        <w:ind w:left="4320" w:hanging="360"/>
      </w:pPr>
      <w:rPr>
        <w:rFonts w:ascii="Arial" w:hAnsi="Arial" w:hint="default"/>
      </w:rPr>
    </w:lvl>
    <w:lvl w:ilvl="6" w:tplc="DE32D01A" w:tentative="1">
      <w:start w:val="1"/>
      <w:numFmt w:val="bullet"/>
      <w:lvlText w:val="•"/>
      <w:lvlJc w:val="left"/>
      <w:pPr>
        <w:tabs>
          <w:tab w:val="num" w:pos="5040"/>
        </w:tabs>
        <w:ind w:left="5040" w:hanging="360"/>
      </w:pPr>
      <w:rPr>
        <w:rFonts w:ascii="Arial" w:hAnsi="Arial" w:hint="default"/>
      </w:rPr>
    </w:lvl>
    <w:lvl w:ilvl="7" w:tplc="112C3F56" w:tentative="1">
      <w:start w:val="1"/>
      <w:numFmt w:val="bullet"/>
      <w:lvlText w:val="•"/>
      <w:lvlJc w:val="left"/>
      <w:pPr>
        <w:tabs>
          <w:tab w:val="num" w:pos="5760"/>
        </w:tabs>
        <w:ind w:left="5760" w:hanging="360"/>
      </w:pPr>
      <w:rPr>
        <w:rFonts w:ascii="Arial" w:hAnsi="Arial" w:hint="default"/>
      </w:rPr>
    </w:lvl>
    <w:lvl w:ilvl="8" w:tplc="28E05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CD13A2F"/>
    <w:multiLevelType w:val="hybridMultilevel"/>
    <w:tmpl w:val="C0EE0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CE"/>
    <w:rsid w:val="002B2839"/>
    <w:rsid w:val="0053178E"/>
    <w:rsid w:val="006336E7"/>
    <w:rsid w:val="007F1ACE"/>
    <w:rsid w:val="008F6AE2"/>
    <w:rsid w:val="0099303E"/>
    <w:rsid w:val="009E7652"/>
    <w:rsid w:val="00A0557E"/>
    <w:rsid w:val="00A371DD"/>
    <w:rsid w:val="00CC55B1"/>
    <w:rsid w:val="00D13948"/>
    <w:rsid w:val="00D6767F"/>
    <w:rsid w:val="00DD64AC"/>
    <w:rsid w:val="00E07713"/>
    <w:rsid w:val="00F42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578485"/>
  <w15:chartTrackingRefBased/>
  <w15:docId w15:val="{EE714C68-1994-4989-8AD7-887D402D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F1ACE"/>
    <w:rPr>
      <w:rFonts w:eastAsiaTheme="minorEastAsia"/>
    </w:rPr>
  </w:style>
  <w:style w:type="paragraph" w:styleId="Heading1">
    <w:name w:val="heading 1"/>
    <w:basedOn w:val="Normal"/>
    <w:next w:val="Normal"/>
    <w:link w:val="Heading1Char"/>
    <w:uiPriority w:val="9"/>
    <w:qFormat/>
    <w:rsid w:val="007F1ACE"/>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7F1ACE"/>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7F1ACE"/>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7F1ACE"/>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7F1ACE"/>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7F1ACE"/>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7F1ACE"/>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F1ACE"/>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F1ACE"/>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1ACE"/>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7F1ACE"/>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7F1ACE"/>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7F1ACE"/>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7F1ACE"/>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7F1ACE"/>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7F1AC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F1AC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F1ACE"/>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7F1ACE"/>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7F1ACE"/>
    <w:rPr>
      <w:rFonts w:ascii="Arial" w:eastAsia="MS Mincho" w:hAnsi="Arial" w:cs="Times New Roman"/>
      <w:b/>
      <w:i/>
      <w:noProof/>
      <w:sz w:val="18"/>
      <w:szCs w:val="20"/>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7F1ACE"/>
    <w:pPr>
      <w:ind w:left="720"/>
      <w:contextualSpacing/>
    </w:pPr>
  </w:style>
  <w:style w:type="table" w:styleId="TableGrid">
    <w:name w:val="Table Grid"/>
    <w:basedOn w:val="TableNormal"/>
    <w:qFormat/>
    <w:rsid w:val="007F1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7F1ACE"/>
    <w:rPr>
      <w:rFonts w:eastAsiaTheme="minorEastAsia"/>
    </w:rPr>
  </w:style>
  <w:style w:type="character" w:customStyle="1" w:styleId="maintextChar">
    <w:name w:val="main text Char"/>
    <w:basedOn w:val="DefaultParagraphFont"/>
    <w:link w:val="maintext"/>
    <w:locked/>
    <w:rsid w:val="007F1ACE"/>
    <w:rPr>
      <w:rFonts w:ascii="Malgun Gothic" w:eastAsia="Malgun Gothic" w:hAnsi="Malgun Gothic"/>
      <w:lang w:eastAsia="ko-KR"/>
    </w:rPr>
  </w:style>
  <w:style w:type="paragraph" w:customStyle="1" w:styleId="maintext">
    <w:name w:val="main text"/>
    <w:basedOn w:val="Normal"/>
    <w:link w:val="maintextChar"/>
    <w:rsid w:val="007F1ACE"/>
    <w:pPr>
      <w:spacing w:before="60" w:after="60" w:line="288" w:lineRule="auto"/>
      <w:ind w:firstLine="200"/>
      <w:jc w:val="both"/>
    </w:pPr>
    <w:rPr>
      <w:rFonts w:ascii="Malgun Gothic" w:eastAsia="Malgun Gothic" w:hAnsi="Malgun Gothic"/>
      <w:lang w:eastAsia="ko-KR"/>
    </w:rPr>
  </w:style>
  <w:style w:type="character" w:customStyle="1" w:styleId="TALChar">
    <w:name w:val="TAL Char"/>
    <w:basedOn w:val="DefaultParagraphFont"/>
    <w:link w:val="TAL"/>
    <w:locked/>
    <w:rsid w:val="007F1ACE"/>
    <w:rPr>
      <w:rFonts w:ascii="Arial" w:hAnsi="Arial" w:cs="Arial"/>
    </w:rPr>
  </w:style>
  <w:style w:type="paragraph" w:customStyle="1" w:styleId="TAL">
    <w:name w:val="TAL"/>
    <w:basedOn w:val="Normal"/>
    <w:link w:val="TALChar"/>
    <w:qFormat/>
    <w:rsid w:val="007F1ACE"/>
    <w:pPr>
      <w:keepNext/>
      <w:spacing w:after="0" w:line="240" w:lineRule="auto"/>
    </w:pPr>
    <w:rPr>
      <w:rFonts w:ascii="Arial" w:eastAsiaTheme="minorHAnsi" w:hAnsi="Arial" w:cs="Arial"/>
    </w:rPr>
  </w:style>
  <w:style w:type="paragraph" w:customStyle="1" w:styleId="EQ">
    <w:name w:val="EQ"/>
    <w:basedOn w:val="Normal"/>
    <w:next w:val="Normal"/>
    <w:link w:val="EQChar"/>
    <w:rsid w:val="007F1AC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paragraph" w:customStyle="1" w:styleId="TAH">
    <w:name w:val="TAH"/>
    <w:basedOn w:val="TAC"/>
    <w:link w:val="TAHCar"/>
    <w:uiPriority w:val="99"/>
    <w:qFormat/>
    <w:rsid w:val="007F1ACE"/>
    <w:rPr>
      <w:b/>
    </w:rPr>
  </w:style>
  <w:style w:type="paragraph" w:customStyle="1" w:styleId="TAC">
    <w:name w:val="TAC"/>
    <w:basedOn w:val="TAL"/>
    <w:link w:val="TACChar"/>
    <w:qFormat/>
    <w:rsid w:val="007F1ACE"/>
    <w:pPr>
      <w:keepLines/>
      <w:overflowPunct w:val="0"/>
      <w:autoSpaceDE w:val="0"/>
      <w:autoSpaceDN w:val="0"/>
      <w:adjustRightInd w:val="0"/>
      <w:jc w:val="center"/>
      <w:textAlignment w:val="baseline"/>
    </w:pPr>
    <w:rPr>
      <w:rFonts w:eastAsia="Times New Roman" w:cs="Times New Roman"/>
      <w:sz w:val="18"/>
      <w:szCs w:val="20"/>
      <w:lang w:val="en-GB" w:eastAsia="ko-KR"/>
    </w:rPr>
  </w:style>
  <w:style w:type="paragraph" w:customStyle="1" w:styleId="B1">
    <w:name w:val="B1"/>
    <w:basedOn w:val="List"/>
    <w:link w:val="B1Char"/>
    <w:qFormat/>
    <w:rsid w:val="007F1ACE"/>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ko-KR"/>
    </w:rPr>
  </w:style>
  <w:style w:type="paragraph" w:customStyle="1" w:styleId="TH">
    <w:name w:val="TH"/>
    <w:basedOn w:val="Normal"/>
    <w:link w:val="THChar"/>
    <w:qFormat/>
    <w:rsid w:val="007F1AC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THChar">
    <w:name w:val="TH Char"/>
    <w:link w:val="TH"/>
    <w:qFormat/>
    <w:rsid w:val="007F1ACE"/>
    <w:rPr>
      <w:rFonts w:ascii="Arial" w:eastAsia="Times New Roman" w:hAnsi="Arial" w:cs="Times New Roman"/>
      <w:b/>
      <w:sz w:val="20"/>
      <w:szCs w:val="20"/>
      <w:lang w:val="en-GB" w:eastAsia="ko-KR"/>
    </w:rPr>
  </w:style>
  <w:style w:type="character" w:customStyle="1" w:styleId="TACChar">
    <w:name w:val="TAC Char"/>
    <w:link w:val="TAC"/>
    <w:qFormat/>
    <w:rsid w:val="007F1ACE"/>
    <w:rPr>
      <w:rFonts w:ascii="Arial" w:eastAsia="Times New Roman" w:hAnsi="Arial" w:cs="Times New Roman"/>
      <w:sz w:val="18"/>
      <w:szCs w:val="20"/>
      <w:lang w:val="en-GB" w:eastAsia="ko-KR"/>
    </w:rPr>
  </w:style>
  <w:style w:type="character" w:customStyle="1" w:styleId="TAHCar">
    <w:name w:val="TAH Car"/>
    <w:link w:val="TAH"/>
    <w:uiPriority w:val="99"/>
    <w:qFormat/>
    <w:rsid w:val="007F1ACE"/>
    <w:rPr>
      <w:rFonts w:ascii="Arial" w:eastAsia="Times New Roman" w:hAnsi="Arial" w:cs="Times New Roman"/>
      <w:b/>
      <w:sz w:val="18"/>
      <w:szCs w:val="20"/>
      <w:lang w:val="en-GB" w:eastAsia="ko-KR"/>
    </w:rPr>
  </w:style>
  <w:style w:type="character" w:customStyle="1" w:styleId="EQChar">
    <w:name w:val="EQ Char"/>
    <w:link w:val="EQ"/>
    <w:rsid w:val="007F1ACE"/>
    <w:rPr>
      <w:rFonts w:ascii="Times New Roman" w:eastAsia="Times New Roman" w:hAnsi="Times New Roman" w:cs="Times New Roman"/>
      <w:noProof/>
      <w:sz w:val="20"/>
      <w:szCs w:val="20"/>
      <w:lang w:val="en-GB" w:eastAsia="ko-KR"/>
    </w:rPr>
  </w:style>
  <w:style w:type="character" w:customStyle="1" w:styleId="B1Char">
    <w:name w:val="B1 Char"/>
    <w:link w:val="B1"/>
    <w:qFormat/>
    <w:rsid w:val="007F1ACE"/>
    <w:rPr>
      <w:rFonts w:ascii="Times New Roman" w:eastAsia="Times New Roman" w:hAnsi="Times New Roman" w:cs="Times New Roman"/>
      <w:sz w:val="20"/>
      <w:szCs w:val="20"/>
      <w:lang w:val="en-GB" w:eastAsia="ko-KR"/>
    </w:rPr>
  </w:style>
  <w:style w:type="paragraph" w:styleId="Header">
    <w:name w:val="header"/>
    <w:basedOn w:val="Normal"/>
    <w:link w:val="HeaderChar"/>
    <w:uiPriority w:val="99"/>
    <w:semiHidden/>
    <w:unhideWhenUsed/>
    <w:rsid w:val="007F1AC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F1ACE"/>
    <w:rPr>
      <w:rFonts w:eastAsiaTheme="minorEastAsia"/>
    </w:rPr>
  </w:style>
  <w:style w:type="paragraph" w:styleId="List">
    <w:name w:val="List"/>
    <w:basedOn w:val="Normal"/>
    <w:uiPriority w:val="99"/>
    <w:semiHidden/>
    <w:unhideWhenUsed/>
    <w:rsid w:val="007F1ACE"/>
    <w:pPr>
      <w:ind w:left="360" w:hanging="360"/>
      <w:contextualSpacing/>
    </w:pPr>
  </w:style>
  <w:style w:type="paragraph" w:styleId="BalloonText">
    <w:name w:val="Balloon Text"/>
    <w:basedOn w:val="Normal"/>
    <w:link w:val="BalloonTextChar"/>
    <w:uiPriority w:val="99"/>
    <w:semiHidden/>
    <w:unhideWhenUsed/>
    <w:rsid w:val="007F1A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1ACE"/>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7F1ACE"/>
    <w:rPr>
      <w:sz w:val="16"/>
      <w:szCs w:val="16"/>
    </w:rPr>
  </w:style>
  <w:style w:type="paragraph" w:styleId="CommentText">
    <w:name w:val="annotation text"/>
    <w:basedOn w:val="Normal"/>
    <w:link w:val="CommentTextChar"/>
    <w:uiPriority w:val="99"/>
    <w:semiHidden/>
    <w:unhideWhenUsed/>
    <w:rsid w:val="007F1ACE"/>
    <w:pPr>
      <w:spacing w:line="240" w:lineRule="auto"/>
    </w:pPr>
    <w:rPr>
      <w:sz w:val="20"/>
      <w:szCs w:val="20"/>
    </w:rPr>
  </w:style>
  <w:style w:type="character" w:customStyle="1" w:styleId="CommentTextChar">
    <w:name w:val="Comment Text Char"/>
    <w:basedOn w:val="DefaultParagraphFont"/>
    <w:link w:val="CommentText"/>
    <w:uiPriority w:val="99"/>
    <w:semiHidden/>
    <w:rsid w:val="007F1AC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7F1ACE"/>
    <w:rPr>
      <w:b/>
      <w:bCs/>
    </w:rPr>
  </w:style>
  <w:style w:type="character" w:customStyle="1" w:styleId="CommentSubjectChar">
    <w:name w:val="Comment Subject Char"/>
    <w:basedOn w:val="CommentTextChar"/>
    <w:link w:val="CommentSubject"/>
    <w:uiPriority w:val="99"/>
    <w:semiHidden/>
    <w:rsid w:val="007F1ACE"/>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95B0F9-451D-49B1-A91A-0573289916F8}">
  <ds:schemaRefs>
    <ds:schemaRef ds:uri="http://schemas.microsoft.com/sharepoint/v3/contenttype/forms"/>
  </ds:schemaRefs>
</ds:datastoreItem>
</file>

<file path=customXml/itemProps2.xml><?xml version="1.0" encoding="utf-8"?>
<ds:datastoreItem xmlns:ds="http://schemas.openxmlformats.org/officeDocument/2006/customXml" ds:itemID="{7FD23C36-C27C-4A6A-8D17-C424BBECD7CB}">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cc9c437c-ae0c-4066-8d90-a0f7de786127"/>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DF0E49B1-D1BE-4721-A00B-C530F8F6B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7</cp:revision>
  <dcterms:created xsi:type="dcterms:W3CDTF">2020-05-15T17:26:00Z</dcterms:created>
  <dcterms:modified xsi:type="dcterms:W3CDTF">2020-05-15T17:51:00Z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